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19"/>
        <w:gridCol w:w="5554"/>
      </w:tblGrid>
      <w:tr w:rsidR="00A12840" w:rsidRPr="001E6CC3" w:rsidTr="00786488">
        <w:trPr>
          <w:trHeight w:val="11866"/>
        </w:trPr>
        <w:tc>
          <w:tcPr>
            <w:tcW w:w="10173" w:type="dxa"/>
            <w:gridSpan w:val="2"/>
          </w:tcPr>
          <w:p w:rsidR="00A12840" w:rsidRPr="001E6CC3" w:rsidRDefault="00A12840" w:rsidP="00786488">
            <w:pPr>
              <w:jc w:val="center"/>
              <w:rPr>
                <w:rFonts w:eastAsiaTheme="minorHAnsi"/>
                <w:lang w:eastAsia="en-US"/>
              </w:rPr>
            </w:pPr>
            <w:r w:rsidRPr="001E6CC3">
              <w:rPr>
                <w:rFonts w:eastAsiaTheme="minorHAnsi" w:cstheme="minorBidi"/>
                <w:b/>
                <w:noProof/>
              </w:rPr>
              <w:drawing>
                <wp:inline distT="0" distB="0" distL="0" distR="0" wp14:anchorId="6ED61BD3" wp14:editId="26F65D99">
                  <wp:extent cx="464966" cy="542925"/>
                  <wp:effectExtent l="0" t="0" r="0" b="0"/>
                  <wp:docPr id="1" name="Рисунок 1" descr="F:\Глава администрации\герб и флаг\Герб - Постано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лава администрации\герб и флаг\Герб - Постано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26" cy="5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840" w:rsidRPr="001E6CC3" w:rsidRDefault="00A12840" w:rsidP="00786488">
            <w:pPr>
              <w:jc w:val="center"/>
            </w:pPr>
            <w:r w:rsidRPr="001E6CC3">
              <w:rPr>
                <w:b/>
                <w:bCs/>
              </w:rPr>
              <w:t>АДМИНИСТРАЦИЯ МУНИЦИПАЛЬНОГО ОБРАЗОВАНИЯ</w:t>
            </w:r>
          </w:p>
          <w:p w:rsidR="00A12840" w:rsidRPr="001E6CC3" w:rsidRDefault="00A12840" w:rsidP="00786488">
            <w:pPr>
              <w:jc w:val="center"/>
            </w:pPr>
            <w:r w:rsidRPr="001E6CC3">
              <w:rPr>
                <w:b/>
                <w:bCs/>
              </w:rPr>
              <w:t>СЕЛЬСКОЕ ПОСЕЛЕНИЕ «ИТОМЛЯ»</w:t>
            </w:r>
          </w:p>
          <w:p w:rsidR="00A12840" w:rsidRPr="001E6CC3" w:rsidRDefault="00A12840" w:rsidP="00786488">
            <w:pPr>
              <w:jc w:val="center"/>
            </w:pPr>
            <w:r w:rsidRPr="001E6CC3">
              <w:rPr>
                <w:b/>
                <w:bCs/>
              </w:rPr>
              <w:t>РЖЕВСКОГО РАЙОНА ТВЕРСКОЙ ОБЛАСТИ</w:t>
            </w:r>
          </w:p>
          <w:p w:rsidR="00A12840" w:rsidRPr="001E6CC3" w:rsidRDefault="00A12840" w:rsidP="00786488"/>
          <w:p w:rsidR="00A12840" w:rsidRPr="001E6CC3" w:rsidRDefault="00A12840" w:rsidP="00786488">
            <w:pPr>
              <w:jc w:val="center"/>
              <w:rPr>
                <w:b/>
                <w:bCs/>
              </w:rPr>
            </w:pPr>
          </w:p>
          <w:p w:rsidR="00A12840" w:rsidRPr="001E6CC3" w:rsidRDefault="00A12840" w:rsidP="00786488">
            <w:pPr>
              <w:jc w:val="center"/>
            </w:pPr>
            <w:r w:rsidRPr="001E6CC3">
              <w:rPr>
                <w:b/>
                <w:bCs/>
              </w:rPr>
              <w:t>РАСПОРЯЖЕНИЕ</w:t>
            </w:r>
          </w:p>
          <w:p w:rsidR="00A12840" w:rsidRPr="001E6CC3" w:rsidRDefault="00A12840" w:rsidP="00786488"/>
          <w:p w:rsidR="00A12840" w:rsidRPr="001E6CC3" w:rsidRDefault="00A12840" w:rsidP="00786488"/>
          <w:p w:rsidR="00A12840" w:rsidRPr="001E6CC3" w:rsidRDefault="00A12840" w:rsidP="0078648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>от 2</w:t>
            </w:r>
            <w:r w:rsidRPr="001E6CC3">
              <w:rPr>
                <w:b/>
              </w:rPr>
              <w:t xml:space="preserve">2.11.2017 года                                                                                                 </w:t>
            </w:r>
            <w:r>
              <w:rPr>
                <w:b/>
              </w:rPr>
              <w:t xml:space="preserve">                 </w:t>
            </w:r>
            <w:r w:rsidRPr="001E6CC3">
              <w:rPr>
                <w:b/>
              </w:rPr>
              <w:t xml:space="preserve"> № 17</w:t>
            </w:r>
            <w:r>
              <w:rPr>
                <w:b/>
              </w:rPr>
              <w:t>-а</w:t>
            </w:r>
          </w:p>
          <w:p w:rsidR="00A12840" w:rsidRPr="001E6CC3" w:rsidRDefault="00A12840" w:rsidP="00786488">
            <w:pPr>
              <w:tabs>
                <w:tab w:val="left" w:pos="9072"/>
              </w:tabs>
              <w:jc w:val="both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623"/>
            </w:tblGrid>
            <w:tr w:rsidR="00A12840" w:rsidRPr="001E6CC3" w:rsidTr="00786488">
              <w:trPr>
                <w:trHeight w:val="1279"/>
              </w:trPr>
              <w:tc>
                <w:tcPr>
                  <w:tcW w:w="8623" w:type="dxa"/>
                </w:tcPr>
                <w:p w:rsidR="00A12840" w:rsidRPr="001E6CC3" w:rsidRDefault="00A12840" w:rsidP="00786488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</w:rPr>
                  </w:pPr>
                  <w:r w:rsidRPr="001E6CC3">
                    <w:rPr>
                      <w:b/>
                      <w:bCs/>
                    </w:rPr>
                    <w:t xml:space="preserve">О внесении изменений </w:t>
                  </w:r>
                  <w:proofErr w:type="gramStart"/>
                  <w:r w:rsidRPr="001E6CC3">
                    <w:rPr>
                      <w:b/>
                      <w:bCs/>
                    </w:rPr>
                    <w:t>в</w:t>
                  </w:r>
                  <w:proofErr w:type="gramEnd"/>
                  <w:r w:rsidRPr="001E6CC3">
                    <w:rPr>
                      <w:b/>
                      <w:bCs/>
                    </w:rPr>
                    <w:t xml:space="preserve"> </w:t>
                  </w:r>
                </w:p>
                <w:p w:rsidR="00A12840" w:rsidRPr="001E6CC3" w:rsidRDefault="00A12840" w:rsidP="00786488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</w:rPr>
                  </w:pPr>
                  <w:r w:rsidRPr="001E6CC3">
                    <w:rPr>
                      <w:b/>
                      <w:bCs/>
                    </w:rPr>
                    <w:t xml:space="preserve">Распоряжение Администрации </w:t>
                  </w:r>
                </w:p>
                <w:p w:rsidR="00A12840" w:rsidRPr="001E6CC3" w:rsidRDefault="00A12840" w:rsidP="00786488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</w:rPr>
                  </w:pPr>
                  <w:r w:rsidRPr="001E6CC3">
                    <w:rPr>
                      <w:b/>
                      <w:bCs/>
                    </w:rPr>
                    <w:t xml:space="preserve">МО сельское поселение «Итомля» </w:t>
                  </w:r>
                </w:p>
                <w:p w:rsidR="00A12840" w:rsidRPr="001E6CC3" w:rsidRDefault="00A12840" w:rsidP="00786488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</w:rPr>
                  </w:pPr>
                  <w:r w:rsidRPr="001E6CC3">
                    <w:rPr>
                      <w:b/>
                      <w:bCs/>
                    </w:rPr>
                    <w:t>Ржевского района Тверской области</w:t>
                  </w:r>
                </w:p>
                <w:p w:rsidR="00A12840" w:rsidRPr="001E6CC3" w:rsidRDefault="00A12840" w:rsidP="00786488">
                  <w:pPr>
                    <w:tabs>
                      <w:tab w:val="left" w:pos="9072"/>
                    </w:tabs>
                    <w:jc w:val="both"/>
                    <w:rPr>
                      <w:b/>
                    </w:rPr>
                  </w:pPr>
                  <w:r w:rsidRPr="001E6CC3">
                    <w:rPr>
                      <w:b/>
                      <w:bCs/>
                    </w:rPr>
                    <w:t>№18 от 23.12.2013 года</w:t>
                  </w:r>
                </w:p>
                <w:p w:rsidR="00A12840" w:rsidRPr="001E6CC3" w:rsidRDefault="00A12840" w:rsidP="00786488">
                  <w:pPr>
                    <w:tabs>
                      <w:tab w:val="left" w:pos="9072"/>
                    </w:tabs>
                    <w:ind w:hanging="108"/>
                    <w:jc w:val="both"/>
                    <w:rPr>
                      <w:b/>
                    </w:rPr>
                  </w:pPr>
                </w:p>
              </w:tc>
            </w:tr>
          </w:tbl>
          <w:p w:rsidR="00A12840" w:rsidRPr="001E6CC3" w:rsidRDefault="00A12840" w:rsidP="00786488">
            <w:pPr>
              <w:tabs>
                <w:tab w:val="left" w:pos="9072"/>
              </w:tabs>
              <w:jc w:val="both"/>
            </w:pPr>
            <w:r w:rsidRPr="001E6CC3">
              <w:t xml:space="preserve">              В соответствии со ст. 38 Федерального закона от 5 апреля 2013 г.№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A12840" w:rsidRDefault="00A12840" w:rsidP="00786488">
            <w:pPr>
              <w:tabs>
                <w:tab w:val="left" w:pos="9072"/>
              </w:tabs>
              <w:spacing w:after="200" w:line="276" w:lineRule="auto"/>
              <w:contextualSpacing/>
              <w:jc w:val="both"/>
            </w:pPr>
          </w:p>
          <w:p w:rsidR="00A12840" w:rsidRPr="00EE240C" w:rsidRDefault="00A12840" w:rsidP="00786488">
            <w:pPr>
              <w:tabs>
                <w:tab w:val="left" w:pos="9072"/>
              </w:tabs>
              <w:spacing w:after="200" w:line="276" w:lineRule="auto"/>
              <w:contextualSpacing/>
              <w:jc w:val="both"/>
            </w:pPr>
            <w:r>
              <w:t xml:space="preserve">            1. </w:t>
            </w:r>
            <w:r w:rsidRPr="00EE240C">
              <w:t>Внести изменения и дополнения в Распоряжение  Администрации МО сельское поселение «Итомля» Ржевского района Тверской области №18 от 23.12.2013 года:</w:t>
            </w:r>
          </w:p>
          <w:p w:rsidR="00A12840" w:rsidRPr="00EE240C" w:rsidRDefault="00A12840" w:rsidP="00786488">
            <w:pPr>
              <w:tabs>
                <w:tab w:val="left" w:pos="9072"/>
              </w:tabs>
              <w:ind w:firstLine="709"/>
              <w:jc w:val="both"/>
            </w:pPr>
            <w:r w:rsidRPr="00EE240C">
              <w:t>а) изложить Приложение к Распоряжению в новой редакции (Прилагается)</w:t>
            </w:r>
          </w:p>
          <w:p w:rsidR="00A12840" w:rsidRPr="006B3937" w:rsidRDefault="00A12840" w:rsidP="00786488">
            <w:pPr>
              <w:tabs>
                <w:tab w:val="left" w:pos="9072"/>
              </w:tabs>
              <w:ind w:firstLine="709"/>
              <w:jc w:val="both"/>
            </w:pPr>
            <w:r w:rsidRPr="006B3937">
              <w:t>2.</w:t>
            </w:r>
            <w:r>
              <w:t xml:space="preserve"> </w:t>
            </w:r>
            <w:r w:rsidRPr="006B3937">
              <w:t>Настоящее распоряжение вступает в силу с момента подписания и подлежит обнародованию в установленном порядке.</w:t>
            </w:r>
          </w:p>
          <w:p w:rsidR="00A12840" w:rsidRPr="006B3937" w:rsidRDefault="00A12840" w:rsidP="00786488">
            <w:pPr>
              <w:tabs>
                <w:tab w:val="left" w:pos="9072"/>
              </w:tabs>
              <w:ind w:firstLine="709"/>
              <w:jc w:val="both"/>
            </w:pPr>
            <w:r w:rsidRPr="006B3937">
              <w:t>3.</w:t>
            </w:r>
            <w:r>
              <w:t xml:space="preserve"> </w:t>
            </w:r>
            <w:proofErr w:type="gramStart"/>
            <w:r w:rsidRPr="006B3937">
              <w:t>Контроль за</w:t>
            </w:r>
            <w:proofErr w:type="gramEnd"/>
            <w:r w:rsidRPr="006B3937">
              <w:t xml:space="preserve"> исполнением распоряжения возложить на Главу администрации МО сельское поселение «</w:t>
            </w:r>
            <w:r>
              <w:t>Итомля</w:t>
            </w:r>
            <w:r w:rsidRPr="006B3937">
              <w:t>» Ржевского района</w:t>
            </w:r>
            <w:r>
              <w:t xml:space="preserve"> Тверской области</w:t>
            </w:r>
            <w:r w:rsidRPr="006B3937">
              <w:t xml:space="preserve"> </w:t>
            </w:r>
            <w:r>
              <w:t>Орлова С.А.</w:t>
            </w:r>
          </w:p>
          <w:p w:rsidR="00A12840" w:rsidRPr="006B3937" w:rsidRDefault="00A12840" w:rsidP="00786488">
            <w:pPr>
              <w:tabs>
                <w:tab w:val="left" w:pos="9072"/>
              </w:tabs>
              <w:ind w:firstLine="709"/>
              <w:jc w:val="both"/>
            </w:pPr>
            <w:r w:rsidRPr="006B3937">
              <w:t>4. Разместить настоящее распоряжение на официальном сайте администрации сельского поселения «</w:t>
            </w:r>
            <w:r>
              <w:t>Итомля</w:t>
            </w:r>
            <w:r w:rsidRPr="006B3937">
              <w:t xml:space="preserve">» </w:t>
            </w:r>
            <w:r w:rsidRPr="006B3937">
              <w:rPr>
                <w:b/>
              </w:rPr>
              <w:t>www.</w:t>
            </w:r>
            <w:r>
              <w:rPr>
                <w:b/>
              </w:rPr>
              <w:t>итомля</w:t>
            </w:r>
            <w:proofErr w:type="gramStart"/>
            <w:r w:rsidRPr="006B3937">
              <w:rPr>
                <w:b/>
              </w:rPr>
              <w:t>.р</w:t>
            </w:r>
            <w:proofErr w:type="gramEnd"/>
            <w:r w:rsidRPr="006B3937">
              <w:rPr>
                <w:b/>
              </w:rPr>
              <w:t xml:space="preserve">жевский-район.рф </w:t>
            </w:r>
            <w:r w:rsidRPr="006B3937">
              <w:t>в информационно-телекоммуникационной сети Интернет.</w:t>
            </w:r>
          </w:p>
          <w:p w:rsidR="00A12840" w:rsidRPr="00EE240C" w:rsidRDefault="00A12840" w:rsidP="00786488">
            <w:pPr>
              <w:tabs>
                <w:tab w:val="left" w:pos="9072"/>
              </w:tabs>
              <w:jc w:val="both"/>
            </w:pPr>
          </w:p>
          <w:p w:rsidR="00A12840" w:rsidRPr="001E6CC3" w:rsidRDefault="00A12840" w:rsidP="00786488">
            <w:pPr>
              <w:tabs>
                <w:tab w:val="left" w:pos="9072"/>
              </w:tabs>
              <w:jc w:val="both"/>
            </w:pPr>
          </w:p>
          <w:p w:rsidR="00A12840" w:rsidRPr="001E6CC3" w:rsidRDefault="00A12840" w:rsidP="00786488">
            <w:pPr>
              <w:tabs>
                <w:tab w:val="left" w:pos="9072"/>
              </w:tabs>
              <w:jc w:val="both"/>
            </w:pPr>
          </w:p>
          <w:p w:rsidR="00A12840" w:rsidRPr="00EE240C" w:rsidRDefault="00A12840" w:rsidP="00786488">
            <w:pPr>
              <w:tabs>
                <w:tab w:val="left" w:pos="9072"/>
              </w:tabs>
              <w:jc w:val="both"/>
            </w:pPr>
            <w:r w:rsidRPr="00EE240C">
              <w:t>Глава администрации</w:t>
            </w:r>
          </w:p>
          <w:p w:rsidR="00A12840" w:rsidRPr="001E6CC3" w:rsidRDefault="00A12840" w:rsidP="00786488">
            <w:pPr>
              <w:tabs>
                <w:tab w:val="left" w:pos="9072"/>
              </w:tabs>
              <w:jc w:val="both"/>
            </w:pPr>
            <w:r w:rsidRPr="00EE240C">
              <w:t>МО сельское поселение «</w:t>
            </w:r>
            <w:r>
              <w:t>Итомля</w:t>
            </w:r>
            <w:r w:rsidRPr="00EE240C">
              <w:t xml:space="preserve">»                                             </w:t>
            </w:r>
            <w:r>
              <w:t>С.А. Орлов</w:t>
            </w:r>
          </w:p>
          <w:p w:rsidR="00A12840" w:rsidRPr="001E6CC3" w:rsidRDefault="00A12840" w:rsidP="00786488">
            <w:pPr>
              <w:tabs>
                <w:tab w:val="left" w:pos="9072"/>
              </w:tabs>
              <w:jc w:val="both"/>
            </w:pPr>
          </w:p>
          <w:p w:rsidR="00A12840" w:rsidRPr="001E6CC3" w:rsidRDefault="00A12840" w:rsidP="00786488">
            <w:pPr>
              <w:tabs>
                <w:tab w:val="left" w:pos="9072"/>
              </w:tabs>
              <w:jc w:val="both"/>
            </w:pPr>
            <w:r w:rsidRPr="001E6CC3">
              <w:t xml:space="preserve"> </w:t>
            </w:r>
          </w:p>
          <w:p w:rsidR="00A12840" w:rsidRPr="001E6CC3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Pr="001E6CC3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A12840" w:rsidRPr="001E6CC3" w:rsidRDefault="00A12840" w:rsidP="0078648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12840" w:rsidRPr="001E6CC3" w:rsidTr="00786488">
        <w:trPr>
          <w:trHeight w:val="2066"/>
        </w:trPr>
        <w:tc>
          <w:tcPr>
            <w:tcW w:w="4619" w:type="dxa"/>
          </w:tcPr>
          <w:p w:rsidR="00A12840" w:rsidRPr="001E6CC3" w:rsidRDefault="00A12840" w:rsidP="00786488">
            <w:pPr>
              <w:tabs>
                <w:tab w:val="left" w:pos="9072"/>
              </w:tabs>
              <w:jc w:val="both"/>
            </w:pPr>
          </w:p>
        </w:tc>
        <w:tc>
          <w:tcPr>
            <w:tcW w:w="5554" w:type="dxa"/>
          </w:tcPr>
          <w:p w:rsidR="00A12840" w:rsidRDefault="00A12840" w:rsidP="00786488">
            <w:pPr>
              <w:tabs>
                <w:tab w:val="left" w:pos="9072"/>
              </w:tabs>
              <w:jc w:val="right"/>
            </w:pPr>
            <w:r w:rsidRPr="001E6CC3">
              <w:t xml:space="preserve">Приложение к распоряжению                        </w:t>
            </w:r>
            <w:r>
              <w:t xml:space="preserve"> А</w:t>
            </w:r>
            <w:r w:rsidRPr="001E6CC3">
              <w:t>дминистр</w:t>
            </w:r>
            <w:r>
              <w:t xml:space="preserve">ации МО             </w:t>
            </w:r>
          </w:p>
          <w:p w:rsidR="00A12840" w:rsidRPr="001E6CC3" w:rsidRDefault="00A12840" w:rsidP="00786488">
            <w:pPr>
              <w:tabs>
                <w:tab w:val="left" w:pos="9072"/>
              </w:tabs>
              <w:jc w:val="right"/>
            </w:pPr>
            <w:r>
              <w:t xml:space="preserve">                      </w:t>
            </w:r>
            <w:r w:rsidRPr="001E6CC3">
              <w:t xml:space="preserve">сельское  </w:t>
            </w:r>
            <w:r w:rsidRPr="00EE240C">
              <w:t>поселение «</w:t>
            </w:r>
            <w:r>
              <w:t>Итомля</w:t>
            </w:r>
            <w:r w:rsidRPr="00EE240C">
              <w:t>»</w:t>
            </w:r>
            <w:r w:rsidRPr="001E6CC3">
              <w:t xml:space="preserve">                     от </w:t>
            </w:r>
            <w:r>
              <w:t>22.11.2017г.  № 17-а</w:t>
            </w:r>
          </w:p>
          <w:p w:rsidR="00A12840" w:rsidRPr="001E6CC3" w:rsidRDefault="00A12840" w:rsidP="00786488">
            <w:pPr>
              <w:tabs>
                <w:tab w:val="left" w:pos="9072"/>
              </w:tabs>
              <w:jc w:val="right"/>
            </w:pPr>
          </w:p>
          <w:p w:rsidR="00A12840" w:rsidRPr="001E6CC3" w:rsidRDefault="00A12840" w:rsidP="00786488">
            <w:pPr>
              <w:tabs>
                <w:tab w:val="left" w:pos="9072"/>
              </w:tabs>
              <w:jc w:val="right"/>
            </w:pPr>
          </w:p>
        </w:tc>
      </w:tr>
    </w:tbl>
    <w:p w:rsidR="00A12840" w:rsidRPr="001E6CC3" w:rsidRDefault="00A12840" w:rsidP="00A12840">
      <w:pPr>
        <w:tabs>
          <w:tab w:val="left" w:pos="9072"/>
        </w:tabs>
        <w:jc w:val="center"/>
      </w:pPr>
      <w:r w:rsidRPr="001E6CC3">
        <w:rPr>
          <w:b/>
          <w:bCs/>
        </w:rPr>
        <w:t>Регламент  контрактного управляющего</w:t>
      </w:r>
    </w:p>
    <w:p w:rsidR="00A12840" w:rsidRPr="001E6CC3" w:rsidRDefault="00A12840" w:rsidP="00A12840">
      <w:pPr>
        <w:tabs>
          <w:tab w:val="left" w:pos="9072"/>
        </w:tabs>
        <w:jc w:val="center"/>
        <w:rPr>
          <w:b/>
        </w:rPr>
      </w:pPr>
      <w:r w:rsidRPr="001E6CC3">
        <w:rPr>
          <w:b/>
        </w:rPr>
        <w:t>I. Общие положения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муниципального образования сельское поселение «</w:t>
      </w:r>
      <w:r>
        <w:t>Итомля»</w:t>
      </w:r>
      <w:r w:rsidRPr="001E6CC3">
        <w:t xml:space="preserve"> Ржевского района (далее – Заказчик).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1.4. Основными принципами, которыми руководствуется контрактный управляющий, исполняя полномочия  при планировании и осуществлении закупок, являются: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1) профессионализм – наличие квалификации, теоретических и практических знаний и навыков в сфере закупок;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 осуществлении закупок у единственного поставщика (подрядчика, исполнителя) и их результатах;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1.5. Контрактный управляющий назначается  Заказчиком из постоянного состава работников Заказчика, выполняющих функции при планировании и осуществлении закупок товаров, работ, услуг для обеспечения муниципальных нужд.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1.6. Регламентом контрактного управляющего установлено, что контрактный управляющий Заказчика не может быть членом  комиссии по осуществлению закупок Заказчика.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1.7. Функциональные обязанности контрактного управляющего: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1) планирование закупок;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  <w:r w:rsidRPr="001E6CC3">
        <w:tab/>
        <w:t xml:space="preserve"> 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3) обоснование закупок;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4) обоснование начальной (максимальной) цены контракта;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lastRenderedPageBreak/>
        <w:t>5) привлечение экспертов, экспертных организаций;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6) утверждение конкурсной документации и изменений в утвержденную конкурсную документацию;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7) 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8) организация заключения контракта при проведении закупок у единственного поставщика (подрядчика, исполнителя);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proofErr w:type="gramStart"/>
      <w:r w:rsidRPr="001E6CC3">
        <w:t>9)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10)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11) взаимодействие с поставщиком (подрядчиком, исполнителем) при изменении, расторжении контракта;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12)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13) направление поставщику (подрядчику, исполнителю) требования об уплате неустоек (штрафов, пеней);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A12840" w:rsidRPr="001E6CC3" w:rsidRDefault="00A12840" w:rsidP="00A12840">
      <w:pPr>
        <w:tabs>
          <w:tab w:val="left" w:pos="9072"/>
        </w:tabs>
        <w:jc w:val="both"/>
      </w:pPr>
    </w:p>
    <w:p w:rsidR="00A12840" w:rsidRPr="001E6CC3" w:rsidRDefault="00A12840" w:rsidP="00A12840">
      <w:pPr>
        <w:tabs>
          <w:tab w:val="left" w:pos="9072"/>
        </w:tabs>
        <w:jc w:val="center"/>
        <w:rPr>
          <w:b/>
        </w:rPr>
      </w:pPr>
      <w:r w:rsidRPr="001E6CC3">
        <w:rPr>
          <w:b/>
        </w:rPr>
        <w:t>II. Функции и полномочия контрактного управляющего</w:t>
      </w:r>
    </w:p>
    <w:p w:rsidR="00A12840" w:rsidRPr="001E6CC3" w:rsidRDefault="00A12840" w:rsidP="00A12840">
      <w:pPr>
        <w:tabs>
          <w:tab w:val="left" w:pos="9072"/>
        </w:tabs>
        <w:jc w:val="both"/>
        <w:rPr>
          <w:b/>
        </w:rPr>
      </w:pP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2.1. Контрактный управляющий осуществляет следующие функции и полномочия: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rPr>
          <w:b/>
        </w:rPr>
        <w:t>1) при планировании закупок: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а) разрабатывает план закупок, осуществляет подготовку изменений для внесения в план закупок;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б) обеспечивает подготовку обоснования закупки при формировании плана закупок;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в) разрабатывает план-график, осуществляет подготовку изменений для внесения в план-график;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г) организует утверждение плана закупок, плана-графика;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rPr>
          <w:b/>
        </w:rPr>
        <w:t>2) при определении поставщиков (подрядчиков, исполнителей):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а) выбирает способ определения поставщика (подрядчика, исполнителя);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в) утверждает конкурсную документацию и изменения в утвержденную конкурсную документацию;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г) осуществляет подготовку извещений об осуществлении закупок у единственного поставщика (подрядчика, исполнителя);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 xml:space="preserve">д)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</w:t>
      </w:r>
      <w:r w:rsidRPr="001E6CC3">
        <w:lastRenderedPageBreak/>
        <w:t>осуществления закупки у единственного поставщика (подрядчика, исполнителя) для заключения контракта;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е) обеспечивает заключение контрактов;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ж)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rPr>
          <w:b/>
        </w:rPr>
        <w:t>3) при исполнении, изменении, расторжении контракта: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proofErr w:type="gramStart"/>
      <w:r w:rsidRPr="001E6CC3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1E6CC3">
        <w:t xml:space="preserve"> </w:t>
      </w:r>
      <w:proofErr w:type="gramStart"/>
      <w:r w:rsidRPr="001E6CC3">
        <w:t>случае</w:t>
      </w:r>
      <w:proofErr w:type="gramEnd"/>
      <w:r w:rsidRPr="001E6CC3">
        <w:t xml:space="preserve"> нарушения поставщиком (подрядчиком, исполнителем) условий контракта;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proofErr w:type="gramStart"/>
      <w:r w:rsidRPr="001E6CC3"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1E6CC3"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E6CC3">
        <w:t>был</w:t>
      </w:r>
      <w:proofErr w:type="gramEnd"/>
      <w:r w:rsidRPr="001E6CC3">
        <w:t xml:space="preserve"> расторгнут по решению суда или в связи с односторонним отказом Заказчика от исполнения контракта;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2.2. Контрактный управляющий осуществляет иные полномочия, предусмотренные Федеральным законом, в том числе: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lastRenderedPageBreak/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2.3. В целях реализации функций и полномочий, указанных в пунктах 2.1 и 2.2 настоящего Регламента, контрактный управляющий обязан: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2) соблюдать иные обязательства и требования, установленные Федеральным законом.</w:t>
      </w:r>
    </w:p>
    <w:p w:rsidR="00A12840" w:rsidRPr="001E6CC3" w:rsidRDefault="00A12840" w:rsidP="00A12840">
      <w:pPr>
        <w:tabs>
          <w:tab w:val="left" w:pos="9072"/>
        </w:tabs>
        <w:jc w:val="center"/>
        <w:rPr>
          <w:b/>
        </w:rPr>
      </w:pPr>
      <w:r w:rsidRPr="001E6CC3">
        <w:rPr>
          <w:b/>
        </w:rPr>
        <w:t>III. Ответственность контрактного управляющего</w:t>
      </w:r>
    </w:p>
    <w:p w:rsidR="00A12840" w:rsidRPr="001E6CC3" w:rsidRDefault="00A12840" w:rsidP="00A12840">
      <w:pPr>
        <w:tabs>
          <w:tab w:val="left" w:pos="9072"/>
        </w:tabs>
        <w:jc w:val="both"/>
        <w:rPr>
          <w:b/>
        </w:rPr>
      </w:pPr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 xml:space="preserve">3.1. </w:t>
      </w:r>
      <w:proofErr w:type="gramStart"/>
      <w:r w:rsidRPr="001E6CC3"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A12840" w:rsidRPr="001E6CC3" w:rsidRDefault="00A12840" w:rsidP="00A12840">
      <w:pPr>
        <w:tabs>
          <w:tab w:val="left" w:pos="9072"/>
        </w:tabs>
        <w:ind w:firstLine="709"/>
        <w:jc w:val="both"/>
      </w:pPr>
      <w:r w:rsidRPr="001E6CC3"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Pr="006E38AB" w:rsidRDefault="00A12840" w:rsidP="00A12840">
      <w:pPr>
        <w:tabs>
          <w:tab w:val="left" w:pos="9072"/>
        </w:tabs>
        <w:jc w:val="both"/>
        <w:rPr>
          <w:sz w:val="36"/>
          <w:szCs w:val="36"/>
        </w:rPr>
      </w:pPr>
    </w:p>
    <w:p w:rsidR="00A12840" w:rsidRPr="006E38AB" w:rsidRDefault="00A12840" w:rsidP="00A12840">
      <w:pPr>
        <w:tabs>
          <w:tab w:val="left" w:pos="9072"/>
        </w:tabs>
        <w:jc w:val="both"/>
        <w:rPr>
          <w:rFonts w:ascii="Calibri" w:hAnsi="Calibri"/>
          <w:sz w:val="22"/>
          <w:szCs w:val="22"/>
        </w:rPr>
      </w:pPr>
    </w:p>
    <w:p w:rsidR="00FE1C5F" w:rsidRDefault="00FE1C5F"/>
    <w:sectPr w:rsidR="00FE1C5F" w:rsidSect="00A128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0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20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840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11336</Characters>
  <Application>Microsoft Office Word</Application>
  <DocSecurity>0</DocSecurity>
  <Lines>94</Lines>
  <Paragraphs>26</Paragraphs>
  <ScaleCrop>false</ScaleCrop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2018-01-26T09:59:00Z</dcterms:created>
  <dcterms:modified xsi:type="dcterms:W3CDTF">2018-01-26T10:03:00Z</dcterms:modified>
</cp:coreProperties>
</file>